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A49DA" w14:textId="77777777" w:rsidR="00AF535C" w:rsidRDefault="00E45059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BA4A53" wp14:editId="72BA4A54">
            <wp:simplePos x="0" y="0"/>
            <wp:positionH relativeFrom="column">
              <wp:posOffset>-1903</wp:posOffset>
            </wp:positionH>
            <wp:positionV relativeFrom="paragraph">
              <wp:posOffset>-634</wp:posOffset>
            </wp:positionV>
            <wp:extent cx="915670" cy="915670"/>
            <wp:effectExtent l="0" t="0" r="0" b="0"/>
            <wp:wrapSquare wrapText="bothSides" distT="0" distB="0" distL="114300" distR="114300"/>
            <wp:docPr id="4" name="image1.png" descr="/var/folders/mc/l1j6sm692x54n4rh7cm385wm0000gn/T/com.microsoft.Word/Content.MSO/9468ED9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/var/folders/mc/l1j6sm692x54n4rh7cm385wm0000gn/T/com.microsoft.Word/Content.MSO/9468ED95.t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915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BA49DB" w14:textId="77777777" w:rsidR="00AF535C" w:rsidRDefault="00E45059" w:rsidP="008F4EF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666666"/>
          <w:sz w:val="22"/>
          <w:szCs w:val="22"/>
        </w:rPr>
        <w:t>Département d’études littéraires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BA49DC" w14:textId="77777777" w:rsidR="00AF535C" w:rsidRDefault="00E45059" w:rsidP="008F4EF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666666"/>
          <w:sz w:val="22"/>
          <w:szCs w:val="22"/>
        </w:rPr>
        <w:t>Université du Québec à Montréal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BA49DD" w14:textId="77777777" w:rsidR="00AF535C" w:rsidRDefault="00E45059" w:rsidP="008F4EF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666666"/>
          <w:sz w:val="22"/>
          <w:szCs w:val="22"/>
          <w:highlight w:val="white"/>
        </w:rPr>
        <w:t>C.P. 8888, succ. Centre-ville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BA49DE" w14:textId="77777777" w:rsidR="00AF535C" w:rsidRDefault="00E45059" w:rsidP="008F4EF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666666"/>
          <w:sz w:val="22"/>
          <w:szCs w:val="22"/>
          <w:highlight w:val="white"/>
        </w:rPr>
        <w:t>Montréal, QC  H3C 3P8</w:t>
      </w:r>
      <w:r>
        <w:rPr>
          <w:rFonts w:ascii="Arial" w:eastAsia="Arial" w:hAnsi="Arial" w:cs="Arial"/>
          <w:color w:val="666666"/>
          <w:sz w:val="22"/>
          <w:szCs w:val="22"/>
        </w:rPr>
        <w:t>  </w:t>
      </w:r>
      <w:r>
        <w:rPr>
          <w:rFonts w:ascii="Arial" w:eastAsia="Arial" w:hAnsi="Arial" w:cs="Arial"/>
          <w:color w:val="666666"/>
          <w:sz w:val="22"/>
          <w:szCs w:val="22"/>
          <w:highlight w:val="white"/>
        </w:rPr>
        <w:t>CANADA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72BA49DF" w14:textId="77777777" w:rsidR="00AF535C" w:rsidRDefault="001A721D" w:rsidP="008F4EF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hyperlink r:id="rId9">
        <w:r w:rsidR="00E45059">
          <w:rPr>
            <w:rFonts w:ascii="Arial" w:eastAsia="Arial" w:hAnsi="Arial" w:cs="Arial"/>
            <w:color w:val="1155CC"/>
            <w:sz w:val="22"/>
            <w:szCs w:val="22"/>
            <w:u w:val="single"/>
          </w:rPr>
          <w:t>assosemio.uqam@gmail.com</w:t>
        </w:r>
      </w:hyperlink>
      <w:r w:rsidR="00E45059">
        <w:rPr>
          <w:rFonts w:ascii="Arial" w:eastAsia="Arial" w:hAnsi="Arial" w:cs="Arial"/>
          <w:color w:val="000000"/>
          <w:sz w:val="22"/>
          <w:szCs w:val="22"/>
        </w:rPr>
        <w:t> /</w:t>
      </w:r>
      <w:hyperlink r:id="rId10">
        <w:r w:rsidR="00E45059">
          <w:rPr>
            <w:rFonts w:ascii="Arial" w:eastAsia="Arial" w:hAnsi="Arial" w:cs="Arial"/>
            <w:color w:val="000000"/>
            <w:sz w:val="22"/>
            <w:szCs w:val="22"/>
          </w:rPr>
          <w:t> </w:t>
        </w:r>
      </w:hyperlink>
      <w:hyperlink r:id="rId11">
        <w:r w:rsidR="00E45059">
          <w:rPr>
            <w:rFonts w:ascii="Arial" w:eastAsia="Arial" w:hAnsi="Arial" w:cs="Arial"/>
            <w:color w:val="1155CC"/>
            <w:sz w:val="22"/>
            <w:szCs w:val="22"/>
            <w:u w:val="single"/>
          </w:rPr>
          <w:t>assosemio-uqam.ca</w:t>
        </w:r>
      </w:hyperlink>
    </w:p>
    <w:p w14:paraId="72BA49E0" w14:textId="77777777" w:rsidR="00AF535C" w:rsidRDefault="00AF535C" w:rsidP="00D5388A">
      <w:pPr>
        <w:jc w:val="both"/>
        <w:rPr>
          <w:rFonts w:ascii="Arial" w:eastAsia="Arial" w:hAnsi="Arial" w:cs="Arial"/>
          <w:sz w:val="22"/>
          <w:szCs w:val="22"/>
        </w:rPr>
      </w:pPr>
    </w:p>
    <w:p w14:paraId="72BA49E1" w14:textId="77777777" w:rsidR="00AF535C" w:rsidRDefault="00AF535C" w:rsidP="00D5388A">
      <w:pPr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72BA49E2" w14:textId="77777777" w:rsidR="00AF535C" w:rsidRDefault="00E45059" w:rsidP="008F4EF6">
      <w:pPr>
        <w:jc w:val="center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ASSEMBLÉE GÉNÉRALE ANNUELLE DE L'ASSOCIATION DES ÉTUDIANTES ET ÉTUDIANTS EN SÉMIOLOGIE</w:t>
      </w:r>
    </w:p>
    <w:p w14:paraId="72BA49E4" w14:textId="0459E4EC" w:rsidR="00AF535C" w:rsidRDefault="00E07DD5" w:rsidP="008F4EF6">
      <w:pPr>
        <w:jc w:val="center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Le 1</w:t>
      </w:r>
      <w:r w:rsidRPr="00E07DD5">
        <w:rPr>
          <w:rFonts w:ascii="Arial" w:eastAsia="Arial" w:hAnsi="Arial" w:cs="Arial"/>
          <w:smallCaps/>
          <w:sz w:val="22"/>
          <w:szCs w:val="22"/>
          <w:vertAlign w:val="superscript"/>
        </w:rPr>
        <w:t>er</w:t>
      </w:r>
      <w:r>
        <w:rPr>
          <w:rFonts w:ascii="Arial" w:eastAsia="Arial" w:hAnsi="Arial" w:cs="Arial"/>
          <w:smallCaps/>
          <w:sz w:val="22"/>
          <w:szCs w:val="22"/>
        </w:rPr>
        <w:t xml:space="preserve"> octobre 2020</w:t>
      </w:r>
    </w:p>
    <w:p w14:paraId="07AFE271" w14:textId="5788FC52" w:rsidR="003165AA" w:rsidRDefault="003165AA" w:rsidP="008F4EF6">
      <w:pPr>
        <w:jc w:val="center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Sur zoom</w:t>
      </w:r>
    </w:p>
    <w:p w14:paraId="72BA49E5" w14:textId="77777777" w:rsidR="00AF535C" w:rsidRDefault="00AF535C" w:rsidP="00D5388A">
      <w:pPr>
        <w:jc w:val="both"/>
        <w:rPr>
          <w:rFonts w:ascii="Arial" w:eastAsia="Arial" w:hAnsi="Arial" w:cs="Arial"/>
          <w:sz w:val="22"/>
          <w:szCs w:val="22"/>
        </w:rPr>
      </w:pPr>
    </w:p>
    <w:p w14:paraId="72BA49E6" w14:textId="77777777" w:rsidR="00AF535C" w:rsidRPr="008F4EF6" w:rsidRDefault="00E45059" w:rsidP="008F4EF6">
      <w:pPr>
        <w:jc w:val="center"/>
        <w:rPr>
          <w:rFonts w:ascii="Arial" w:eastAsia="Arial" w:hAnsi="Arial" w:cs="Arial"/>
          <w:b/>
          <w:bCs/>
          <w:u w:val="single"/>
        </w:rPr>
      </w:pPr>
      <w:r w:rsidRPr="008F4EF6">
        <w:rPr>
          <w:rFonts w:ascii="Arial" w:eastAsia="Arial" w:hAnsi="Arial" w:cs="Arial"/>
          <w:b/>
          <w:bCs/>
          <w:u w:val="single"/>
        </w:rPr>
        <w:t>Procès-verbal</w:t>
      </w:r>
    </w:p>
    <w:p w14:paraId="72BA49E7" w14:textId="77777777" w:rsidR="00AF535C" w:rsidRPr="00A20C1A" w:rsidRDefault="00AF535C" w:rsidP="00D5388A">
      <w:pPr>
        <w:jc w:val="both"/>
        <w:rPr>
          <w:rFonts w:ascii="Arial" w:eastAsia="Arial" w:hAnsi="Arial" w:cs="Arial"/>
          <w:sz w:val="22"/>
          <w:szCs w:val="22"/>
        </w:rPr>
      </w:pPr>
    </w:p>
    <w:p w14:paraId="7222E387" w14:textId="77777777" w:rsidR="00E07DD5" w:rsidRPr="00A20C1A" w:rsidRDefault="00E07DD5" w:rsidP="00D5388A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b/>
          <w:bCs/>
          <w:color w:val="000000"/>
          <w:lang w:val="fr-CA" w:eastAsia="fr-CA"/>
        </w:rPr>
        <w:t>Ouverture </w:t>
      </w:r>
    </w:p>
    <w:p w14:paraId="3F7F9E17" w14:textId="77777777" w:rsidR="00E07DD5" w:rsidRPr="00A20C1A" w:rsidRDefault="00E07DD5" w:rsidP="00D5388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sz w:val="22"/>
          <w:szCs w:val="22"/>
        </w:rPr>
        <w:t xml:space="preserve">L’ouverture de l’assemblée est proposée par Joséane Beaulieu-April et appuyée par Megan Bédard. </w:t>
      </w:r>
      <w:r w:rsidRPr="00A20C1A">
        <w:rPr>
          <w:rFonts w:ascii="Arial" w:eastAsia="Arial" w:hAnsi="Arial" w:cs="Arial"/>
          <w:color w:val="000000"/>
          <w:sz w:val="22"/>
          <w:szCs w:val="22"/>
        </w:rPr>
        <w:t>La proposition est adoptée à l’unanimité. L’assemblée s’ouvre à 11 h 15 avec quorum atteint (6 personnes sont présentes : Megan Bédard, Joséane Beaulieu-April, Lucile Crémier, Bianca Laliberté, Lucie Quevillon, Karim Chagnon).</w:t>
      </w:r>
    </w:p>
    <w:p w14:paraId="1DE0AF80" w14:textId="77777777" w:rsidR="00E07DD5" w:rsidRPr="00A20C1A" w:rsidRDefault="00E07DD5" w:rsidP="00D5388A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4FB97E7E" w14:textId="77777777" w:rsidR="00E07DD5" w:rsidRPr="00A20C1A" w:rsidRDefault="00E07DD5" w:rsidP="00D5388A">
      <w:pPr>
        <w:pStyle w:val="Paragraphedeliste"/>
        <w:numPr>
          <w:ilvl w:val="1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b/>
          <w:bCs/>
          <w:color w:val="000000"/>
          <w:lang w:val="fr-CA" w:eastAsia="fr-CA"/>
        </w:rPr>
        <w:t>Animation et secrétariat </w:t>
      </w:r>
    </w:p>
    <w:p w14:paraId="1A367C12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Arial" w:hAnsi="Arial" w:cs="Arial"/>
          <w:color w:val="000000"/>
        </w:rPr>
      </w:pPr>
      <w:r w:rsidRPr="00A20C1A">
        <w:rPr>
          <w:rFonts w:ascii="Arial" w:eastAsia="Times New Roman" w:hAnsi="Arial" w:cs="Arial"/>
          <w:lang w:val="fr-CA" w:eastAsia="fr-CA"/>
        </w:rPr>
        <w:t>Que Megan Bédard</w:t>
      </w:r>
      <w:r w:rsidRPr="00A20C1A">
        <w:rPr>
          <w:rFonts w:ascii="Arial" w:eastAsia="Arial" w:hAnsi="Arial" w:cs="Arial"/>
          <w:color w:val="000000"/>
        </w:rPr>
        <w:t xml:space="preserve"> modère la séance et que </w:t>
      </w:r>
      <w:r w:rsidRPr="00A20C1A">
        <w:rPr>
          <w:rFonts w:ascii="Arial" w:eastAsia="Times New Roman" w:hAnsi="Arial" w:cs="Arial"/>
          <w:lang w:val="fr-CA" w:eastAsia="fr-CA"/>
        </w:rPr>
        <w:t xml:space="preserve">Joséane Beaulieu-April remplisse les fonctions du secrétariat. </w:t>
      </w:r>
    </w:p>
    <w:p w14:paraId="37427F47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Arial" w:hAnsi="Arial" w:cs="Arial"/>
          <w:i/>
          <w:iCs/>
          <w:color w:val="000000"/>
        </w:rPr>
        <w:t xml:space="preserve">Proposée par Karim Chagnon. </w:t>
      </w:r>
    </w:p>
    <w:p w14:paraId="0D199E3D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>Appuyée par Bianca Laliberté.</w:t>
      </w:r>
    </w:p>
    <w:p w14:paraId="2AD83CAA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 xml:space="preserve">Adoptée à l’unanimité. </w:t>
      </w:r>
    </w:p>
    <w:p w14:paraId="449C0991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lang w:val="fr-CA" w:eastAsia="fr-CA"/>
        </w:rPr>
      </w:pPr>
    </w:p>
    <w:p w14:paraId="3127E847" w14:textId="77777777" w:rsidR="00E07DD5" w:rsidRPr="00A20C1A" w:rsidRDefault="00E07DD5" w:rsidP="00D5388A">
      <w:pPr>
        <w:pStyle w:val="Paragraphedeliste"/>
        <w:numPr>
          <w:ilvl w:val="1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b/>
          <w:bCs/>
          <w:color w:val="000000"/>
          <w:lang w:val="fr-CA" w:eastAsia="fr-CA"/>
        </w:rPr>
        <w:t>Adoption de l’ordre du jour</w:t>
      </w:r>
    </w:p>
    <w:p w14:paraId="6306B525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Arial" w:hAnsi="Arial" w:cs="Arial"/>
          <w:i/>
          <w:iCs/>
          <w:color w:val="000000"/>
        </w:rPr>
        <w:t xml:space="preserve">Proposée par Bianca Laliberté. </w:t>
      </w:r>
    </w:p>
    <w:p w14:paraId="136045FA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>Appuyée par Lucile Crémier,</w:t>
      </w:r>
    </w:p>
    <w:p w14:paraId="6F69531F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 xml:space="preserve">Adoptée à l’unanimité. </w:t>
      </w:r>
    </w:p>
    <w:p w14:paraId="36A6BB28" w14:textId="77777777" w:rsidR="00E07DD5" w:rsidRPr="00A20C1A" w:rsidRDefault="00E07DD5" w:rsidP="00D5388A">
      <w:pPr>
        <w:pStyle w:val="Paragraphedeliste"/>
        <w:numPr>
          <w:ilvl w:val="1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b/>
          <w:bCs/>
          <w:color w:val="000000"/>
          <w:lang w:val="fr-CA" w:eastAsia="fr-CA"/>
        </w:rPr>
        <w:t>Adoption des procès-verbaux de l’AG du 23 septembre 2019 et de l’AG extraordinaire du 18 mai 2020</w:t>
      </w:r>
    </w:p>
    <w:p w14:paraId="3566C0C7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>Proposée par Joséane Beaulieu-April.</w:t>
      </w:r>
    </w:p>
    <w:p w14:paraId="41FE6490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>Appuyée par Karim Chagnon.</w:t>
      </w:r>
    </w:p>
    <w:p w14:paraId="5764D316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i/>
          <w:iCs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lang w:val="fr-CA" w:eastAsia="fr-CA"/>
        </w:rPr>
        <w:t xml:space="preserve">Adoptée à l’unanimité. </w:t>
      </w:r>
    </w:p>
    <w:p w14:paraId="5202C69D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4F8A43C9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06574C31" w14:textId="77777777" w:rsidR="00E07DD5" w:rsidRPr="00A20C1A" w:rsidRDefault="00E07DD5" w:rsidP="00D5388A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b/>
          <w:bCs/>
          <w:color w:val="000000"/>
          <w:lang w:val="fr-CA" w:eastAsia="fr-CA"/>
        </w:rPr>
        <w:t xml:space="preserve">Tour de table </w:t>
      </w:r>
    </w:p>
    <w:p w14:paraId="5E12A2EE" w14:textId="77777777" w:rsidR="00E07DD5" w:rsidRPr="00A20C1A" w:rsidRDefault="00E07DD5" w:rsidP="00D5388A">
      <w:pPr>
        <w:pStyle w:val="Paragraphedeliste"/>
        <w:spacing w:after="0" w:line="240" w:lineRule="auto"/>
        <w:ind w:left="0" w:firstLine="0"/>
        <w:rPr>
          <w:rFonts w:ascii="Arial" w:eastAsia="Times New Roman" w:hAnsi="Arial" w:cs="Arial"/>
          <w:b/>
          <w:bCs/>
          <w:lang w:val="fr-CA" w:eastAsia="fr-CA"/>
        </w:rPr>
      </w:pPr>
      <w:r w:rsidRPr="00A20C1A">
        <w:rPr>
          <w:rFonts w:ascii="Arial" w:eastAsia="Arial" w:hAnsi="Arial" w:cs="Arial"/>
          <w:color w:val="000000"/>
        </w:rPr>
        <w:t>Les membres présent·e·s s’informent de l’évolution des parcours de chacun·e.</w:t>
      </w:r>
    </w:p>
    <w:p w14:paraId="0C0167F8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</w:p>
    <w:p w14:paraId="2CFE50F7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3. Bilan </w:t>
      </w:r>
    </w:p>
    <w:p w14:paraId="3374CC3A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3.1 Activités de l’Asso sémio </w:t>
      </w:r>
    </w:p>
    <w:p w14:paraId="22CBA543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3.1.1 Comité exécutif </w:t>
      </w:r>
    </w:p>
    <w:p w14:paraId="798FCD29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- Il y a eu la bière post-AG à l’automne dernier. </w:t>
      </w:r>
    </w:p>
    <w:p w14:paraId="1CBE8539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- Party sémio-courage à la fin-février. </w:t>
      </w:r>
    </w:p>
    <w:p w14:paraId="5409A1C4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>- Les rencontres de rédaction tous les lundi matin de 9h à 14h jusqu’à l’annonce de la pandémie en mars 2020.</w:t>
      </w:r>
    </w:p>
    <w:p w14:paraId="108FAFAD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 - Toutes les activités ont été suspendues pour le temps de la pandémie.</w:t>
      </w:r>
    </w:p>
    <w:p w14:paraId="735340A8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>- Assemblée générale extraordinaire en mai pour la création d’une bourse d’aide financière. Une seule a été attribuée.</w:t>
      </w:r>
    </w:p>
    <w:p w14:paraId="5BE471CE" w14:textId="77777777" w:rsidR="00E07DD5" w:rsidRPr="00A20C1A" w:rsidRDefault="00E07DD5" w:rsidP="00D5388A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5EEC094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3.1.2 CAP</w:t>
      </w:r>
    </w:p>
    <w:p w14:paraId="135ED851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lastRenderedPageBreak/>
        <w:tab/>
        <w:t>Le CAP s’est réuni à de nombreuses reprises depuis le début de la pandémie.</w:t>
      </w:r>
    </w:p>
    <w:p w14:paraId="389D5A24" w14:textId="77777777" w:rsidR="00E07DD5" w:rsidRPr="00A20C1A" w:rsidRDefault="00E07DD5" w:rsidP="00D5388A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797F232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3.1.3 Comité paritaire de programme</w:t>
      </w:r>
    </w:p>
    <w:p w14:paraId="6B3316D8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ab/>
        <w:t>Discussion avec la direction pour le déroulement des séminaires à l’automne.</w:t>
      </w:r>
    </w:p>
    <w:p w14:paraId="22003C87" w14:textId="77777777" w:rsidR="00E07DD5" w:rsidRPr="00A20C1A" w:rsidRDefault="00E07DD5" w:rsidP="00D5388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E1EDBC9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3.1.4 Site web de l’Asso sémio</w:t>
      </w:r>
    </w:p>
    <w:p w14:paraId="00E29892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ab/>
        <w:t>Nouveau site web (l’ancien a disparu) en construction. Megan a créé un nouveau site qui est toujours en progrès.</w:t>
      </w:r>
    </w:p>
    <w:p w14:paraId="1003D7E8" w14:textId="77777777" w:rsidR="00E07DD5" w:rsidRPr="00A20C1A" w:rsidRDefault="00E07DD5" w:rsidP="00D5388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E7EA1F7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3.1.5 Bilan financier</w:t>
      </w:r>
    </w:p>
    <w:p w14:paraId="5B187F65" w14:textId="6F8C83AB" w:rsidR="00E07DD5" w:rsidRPr="00A20C1A" w:rsidRDefault="00E07DD5" w:rsidP="00D5388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 w:rsidRPr="00A20C1A">
        <w:rPr>
          <w:rFonts w:ascii="Arial" w:eastAsia="Arial" w:hAnsi="Arial" w:cs="Arial"/>
          <w:sz w:val="22"/>
          <w:szCs w:val="22"/>
        </w:rPr>
        <w:t>Megan Bédard, responsable à la trésorerie, présente le bilan financier pour l’année 2019-2020 et le plan budgétaire pour l’année 2020-2021.</w:t>
      </w:r>
    </w:p>
    <w:p w14:paraId="7CA436A5" w14:textId="42D15E23" w:rsidR="00E05F1E" w:rsidRPr="00A20C1A" w:rsidRDefault="00E05F1E" w:rsidP="00D5388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75154AD7" w14:textId="77777777" w:rsidR="00E05F1E" w:rsidRPr="00A20C1A" w:rsidRDefault="00E05F1E" w:rsidP="00D5388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3CB0D13B" w14:textId="6657902F" w:rsidR="00F205C1" w:rsidRPr="00A20C1A" w:rsidRDefault="00F205C1" w:rsidP="00D5388A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09AE00CB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b/>
          <w:sz w:val="22"/>
          <w:szCs w:val="22"/>
        </w:rPr>
        <w:t>ASSO SÉMIO · BILAN FINANCIER 2019-2020</w:t>
      </w:r>
    </w:p>
    <w:p w14:paraId="736122D1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tbl>
      <w:tblPr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695"/>
        <w:gridCol w:w="1545"/>
        <w:gridCol w:w="1560"/>
        <w:gridCol w:w="1695"/>
      </w:tblGrid>
      <w:tr w:rsidR="00E75F94" w:rsidRPr="00A20C1A" w14:paraId="22C22AE9" w14:textId="77777777" w:rsidTr="00FB560B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7081992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REVENUS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36DE008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AUTOMNE 2019 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7DC7294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HIVER 2020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5C86D09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ÉTÉ 2020 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3AFD4EB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5D9E11ED" w14:textId="77777777" w:rsidTr="00FB560B"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4F15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Retour de cotisations AFEA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F93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38B1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497,05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AE2D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D400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</w:rPr>
              <w:t>931,05</w:t>
            </w:r>
          </w:p>
        </w:tc>
      </w:tr>
      <w:tr w:rsidR="00E75F94" w:rsidRPr="00A20C1A" w14:paraId="280A0377" w14:textId="77777777" w:rsidTr="00FB560B"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292B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Retour de cotisations modulaires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3DD6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D7F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6076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5CB0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</w:tr>
      <w:tr w:rsidR="00E75F94" w:rsidRPr="00A20C1A" w14:paraId="55C946D9" w14:textId="77777777" w:rsidTr="00FB560B">
        <w:tc>
          <w:tcPr>
            <w:tcW w:w="3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3A9E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A2D7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744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8D41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622,05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E5DB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DEEA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1431,05</w:t>
            </w:r>
          </w:p>
        </w:tc>
      </w:tr>
    </w:tbl>
    <w:p w14:paraId="25AFC614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tbl>
      <w:tblPr>
        <w:tblW w:w="10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2565"/>
        <w:gridCol w:w="1980"/>
        <w:gridCol w:w="1125"/>
        <w:gridCol w:w="1695"/>
      </w:tblGrid>
      <w:tr w:rsidR="00E75F94" w:rsidRPr="00A20C1A" w14:paraId="4683B773" w14:textId="77777777" w:rsidTr="00FB560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634EBF89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DÉPENSES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5F16D58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AUTOMNE 2019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0A0B091F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HIVER 2020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646992A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ÉTÉ 2020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412BC079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558E9635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9A4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Frais bancaires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89E6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30,05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11AD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23,80 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EE8D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23,80 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7784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77,65</w:t>
            </w:r>
          </w:p>
        </w:tc>
      </w:tr>
      <w:tr w:rsidR="00E75F94" w:rsidRPr="00A20C1A" w14:paraId="1CEF1106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55BA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Bourses au rayonnement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CF5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03D99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81B5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46C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600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500E7DF7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CD1E6" w14:textId="21B4BAEF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Bourse d’aide financière</w:t>
            </w:r>
            <w:r w:rsidR="00E67192">
              <w:rPr>
                <w:rFonts w:ascii="Arial" w:hAnsi="Arial" w:cs="Arial"/>
                <w:sz w:val="22"/>
                <w:szCs w:val="22"/>
              </w:rPr>
              <w:t xml:space="preserve"> en situation d’Urgence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D194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09A6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F5B4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E473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150</w:t>
            </w:r>
          </w:p>
        </w:tc>
      </w:tr>
      <w:tr w:rsidR="00E75F94" w:rsidRPr="00A20C1A" w14:paraId="21945EBA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3520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Mondanités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ECE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103,79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408C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88,20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19B7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6616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191,99</w:t>
            </w:r>
          </w:p>
        </w:tc>
      </w:tr>
      <w:tr w:rsidR="00E75F94" w:rsidRPr="00A20C1A" w14:paraId="25C742EB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2CE0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REQ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6AED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35 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D84AF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7F19C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0 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CC4D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35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30BF66BD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A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Renouvellement des noms de domaine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931D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105,44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A9C5C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92,25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D74A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27,68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0EEA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225,37</w:t>
            </w:r>
          </w:p>
        </w:tc>
      </w:tr>
      <w:tr w:rsidR="00E75F94" w:rsidRPr="00A20C1A" w14:paraId="3B0D2CAE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528B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Entretien des sites web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8D0D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45,23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F34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38,32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5200C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38,32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2EC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121,87</w:t>
            </w:r>
          </w:p>
        </w:tc>
      </w:tr>
      <w:tr w:rsidR="00E75F94" w:rsidRPr="00A20C1A" w14:paraId="0EDF1F88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7DA2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632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319,51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FD0D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842,57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B988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239,80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662F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1 401,88</w:t>
            </w:r>
          </w:p>
        </w:tc>
      </w:tr>
    </w:tbl>
    <w:p w14:paraId="20C965AC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tbl>
      <w:tblPr>
        <w:tblW w:w="3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1155"/>
      </w:tblGrid>
      <w:tr w:rsidR="00E75F94" w:rsidRPr="00A20C1A" w14:paraId="2CE42853" w14:textId="77777777" w:rsidTr="00FB560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</w:tcPr>
          <w:p w14:paraId="694E32F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SYNTHÈSE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6833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2E3859BD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BC81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SOLDE INITIAL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600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4314,21</w:t>
            </w:r>
          </w:p>
        </w:tc>
      </w:tr>
      <w:tr w:rsidR="00E75F94" w:rsidRPr="00A20C1A" w14:paraId="04CD6582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76ACC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REVENUS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8E45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1431,05</w:t>
            </w:r>
          </w:p>
        </w:tc>
      </w:tr>
      <w:tr w:rsidR="00E75F94" w:rsidRPr="00A20C1A" w14:paraId="55EFA7DA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BD5A9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DÉPENSES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09F6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1401,88</w:t>
            </w:r>
          </w:p>
        </w:tc>
      </w:tr>
      <w:tr w:rsidR="00E75F94" w:rsidRPr="00A20C1A" w14:paraId="6AA9A312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73F0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SOLDE FINAL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9811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4343,38</w:t>
            </w:r>
          </w:p>
        </w:tc>
      </w:tr>
      <w:tr w:rsidR="00E75F94" w:rsidRPr="00A20C1A" w14:paraId="184C4EA1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8E1DC5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sz w:val="22"/>
                <w:szCs w:val="22"/>
              </w:rPr>
              <w:t>Variation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14:paraId="5BCE66D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29,17</w:t>
            </w:r>
          </w:p>
        </w:tc>
      </w:tr>
      <w:tr w:rsidR="00E75F94" w:rsidRPr="00A20C1A" w14:paraId="7BCC19A6" w14:textId="77777777" w:rsidTr="00FB560B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1280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8FDC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F5697" w14:textId="28A1DEFD" w:rsidR="00E05F1E" w:rsidRPr="00A57F89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p w14:paraId="472E4EED" w14:textId="77777777" w:rsidR="00E05F1E" w:rsidRPr="00A20C1A" w:rsidRDefault="00E05F1E" w:rsidP="00D5388A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13BBD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b/>
          <w:bCs/>
          <w:sz w:val="22"/>
          <w:szCs w:val="22"/>
          <w:lang w:val="fr-FR"/>
        </w:rPr>
        <w:t>ASSO SÉMIO · PLAN BUDGÉTAIRE 2020-2021</w:t>
      </w:r>
    </w:p>
    <w:p w14:paraId="7E7D6C4A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1980"/>
        <w:gridCol w:w="1410"/>
        <w:gridCol w:w="1125"/>
        <w:gridCol w:w="1710"/>
      </w:tblGrid>
      <w:tr w:rsidR="00E75F94" w:rsidRPr="00A20C1A" w14:paraId="72618279" w14:textId="77777777" w:rsidTr="00FB560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/>
            <w:hideMark/>
          </w:tcPr>
          <w:p w14:paraId="2CB060A7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REVENUS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14:paraId="0578A45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AUTOMNE 2019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14:paraId="00453D87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HIVER 2020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14:paraId="7B56260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ÉTÉ 2020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14:paraId="32FEC1E7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3E7CB83E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747B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Retour de cotisations AFEA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6A60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500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C01A7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500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85CD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300 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DFFD7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1300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1A505AAD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4F3E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Cotisations Asso sémio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D7C13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50 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D9D4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100 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66A8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50 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0B0E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</w:rPr>
              <w:t>200 </w:t>
            </w:r>
          </w:p>
        </w:tc>
      </w:tr>
      <w:tr w:rsidR="00E75F94" w:rsidRPr="00A20C1A" w14:paraId="76753EF0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36BE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Autres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E3FB9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F83C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E845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8CA4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1676F247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C770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EE225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550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66B6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600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4011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350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B076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1500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C393FB1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245"/>
      </w:tblGrid>
      <w:tr w:rsidR="00E75F94" w:rsidRPr="00A20C1A" w14:paraId="70E8B5A2" w14:textId="77777777" w:rsidTr="00FB560B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/>
            <w:hideMark/>
          </w:tcPr>
          <w:p w14:paraId="6B4D6874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DÉPENSES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14:paraId="13AD0D6C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ITEMS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1884DC51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CFA0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Frais bancaires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14AF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71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5534A63E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4BE1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Bourses au rayonnement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DF1DE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E05F1E" w:rsidRPr="00A20C1A" w14:paraId="3E304791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36E42" w14:textId="5DEDC290" w:rsidR="00E05F1E" w:rsidRPr="00A20C1A" w:rsidRDefault="00E05F1E" w:rsidP="00D5388A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Bourses d’aide financière en situation d’Urgence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9A309" w14:textId="237F6DDC" w:rsidR="00E05F1E" w:rsidRPr="00A20C1A" w:rsidRDefault="00E05F1E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E75F94" w:rsidRPr="00A20C1A" w14:paraId="73574ED8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A752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Mondanités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C86AC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200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5594AC96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8B6EA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REQ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E3859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36</w:t>
            </w:r>
          </w:p>
        </w:tc>
      </w:tr>
      <w:tr w:rsidR="00E75F94" w:rsidRPr="00A20C1A" w14:paraId="09E0F0E6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DD2E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Renouvellement noms de domaine des sites web du labo et de l'Asso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FDA2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250 </w:t>
            </w:r>
          </w:p>
        </w:tc>
      </w:tr>
      <w:tr w:rsidR="00E75F94" w:rsidRPr="00A20C1A" w14:paraId="64E58C67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65C3B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Entretien des sites web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D118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120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636C49E9" w14:textId="77777777" w:rsidTr="00FB560B">
        <w:tc>
          <w:tcPr>
            <w:tcW w:w="3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8460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Total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24E22" w14:textId="31D5D0FC" w:rsidR="00E75F94" w:rsidRPr="00A20C1A" w:rsidRDefault="009B13BC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3677</w:t>
            </w:r>
          </w:p>
        </w:tc>
      </w:tr>
    </w:tbl>
    <w:p w14:paraId="4C5C6E7F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1155"/>
      </w:tblGrid>
      <w:tr w:rsidR="00E75F94" w:rsidRPr="00A20C1A" w14:paraId="2BDA4F31" w14:textId="77777777" w:rsidTr="00FB560B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CDDC"/>
            <w:hideMark/>
          </w:tcPr>
          <w:p w14:paraId="1107EBD6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SYNTHÈSE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EF2138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788E9596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C95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SOLDE INITIAL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5E852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4314,21 </w:t>
            </w:r>
          </w:p>
        </w:tc>
      </w:tr>
      <w:tr w:rsidR="00E75F94" w:rsidRPr="00A20C1A" w14:paraId="5BF6D90E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D88D1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REVENUS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66E00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1500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F94" w:rsidRPr="00A20C1A" w14:paraId="6C3ECBBD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1CCDF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  <w:lang w:val="fr-FR"/>
              </w:rPr>
              <w:t>DÉPENSES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D583D" w14:textId="70379DF1" w:rsidR="00E75F94" w:rsidRPr="00A20C1A" w:rsidRDefault="009B13BC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sz w:val="22"/>
                <w:szCs w:val="22"/>
              </w:rPr>
              <w:t>36</w:t>
            </w:r>
            <w:r w:rsidR="00E75F94" w:rsidRPr="00A20C1A"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E75F94" w:rsidRPr="00A20C1A" w14:paraId="24ECAF69" w14:textId="77777777" w:rsidTr="00FB560B"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AF89D" w14:textId="77777777" w:rsidR="00E75F94" w:rsidRPr="00A20C1A" w:rsidRDefault="00E75F94" w:rsidP="00D538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Variation</w:t>
            </w:r>
            <w:r w:rsidRPr="00A20C1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07F9E" w14:textId="20521ABB" w:rsidR="00E75F94" w:rsidRPr="00A20C1A" w:rsidRDefault="00E75F94" w:rsidP="00D538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0C1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513850" w:rsidRPr="00A20C1A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Pr="00A20C1A">
              <w:rPr>
                <w:rFonts w:ascii="Arial" w:hAnsi="Arial" w:cs="Arial"/>
                <w:b/>
                <w:bCs/>
                <w:sz w:val="22"/>
                <w:szCs w:val="22"/>
              </w:rPr>
              <w:t>77)</w:t>
            </w:r>
          </w:p>
        </w:tc>
      </w:tr>
    </w:tbl>
    <w:p w14:paraId="27120EE9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p w14:paraId="7AD2CA39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</w:p>
    <w:p w14:paraId="03A4D4C9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b/>
          <w:bCs/>
          <w:sz w:val="22"/>
          <w:szCs w:val="22"/>
          <w:lang w:val="fr-FR"/>
        </w:rPr>
        <w:t>CERTIFICATION</w:t>
      </w:r>
      <w:r w:rsidRPr="00A20C1A">
        <w:rPr>
          <w:rFonts w:ascii="Arial" w:hAnsi="Arial" w:cs="Arial"/>
          <w:sz w:val="22"/>
          <w:szCs w:val="22"/>
        </w:rPr>
        <w:t> </w:t>
      </w:r>
    </w:p>
    <w:p w14:paraId="6583E208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p w14:paraId="0F8343E5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  <w:lang w:val="fr-FR"/>
        </w:rPr>
        <w:t>Ce Bilan budgétaire a été préparé le 10 septembre 2020 par Megan Bédard, responsable à la trésorerie et membre élue de l’exécutif de l’Asso sémio pour un mandat correspondant à l’année financière 2019-2020. </w:t>
      </w:r>
      <w:r w:rsidRPr="00A20C1A">
        <w:rPr>
          <w:rFonts w:ascii="Arial" w:hAnsi="Arial" w:cs="Arial"/>
          <w:sz w:val="22"/>
          <w:szCs w:val="22"/>
        </w:rPr>
        <w:t> </w:t>
      </w:r>
    </w:p>
    <w:p w14:paraId="39D06CC0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p w14:paraId="0BE8E34F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  <w:lang w:val="fr-FR"/>
        </w:rPr>
        <w:t>Je, soussignée, certifie que toutes les informations présentées sont justes et vérifiables. </w:t>
      </w:r>
      <w:r w:rsidRPr="00A20C1A">
        <w:rPr>
          <w:rFonts w:ascii="Arial" w:hAnsi="Arial" w:cs="Arial"/>
          <w:sz w:val="22"/>
          <w:szCs w:val="22"/>
        </w:rPr>
        <w:t> </w:t>
      </w:r>
    </w:p>
    <w:p w14:paraId="00651436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noProof/>
          <w:sz w:val="22"/>
          <w:szCs w:val="22"/>
          <w:lang w:val="fr-FR"/>
        </w:rPr>
        <w:drawing>
          <wp:anchor distT="0" distB="0" distL="114300" distR="114300" simplePos="0" relativeHeight="251660288" behindDoc="1" locked="0" layoutInCell="1" allowOverlap="1" wp14:anchorId="2F769E0F" wp14:editId="749A7E16">
            <wp:simplePos x="0" y="0"/>
            <wp:positionH relativeFrom="column">
              <wp:posOffset>-243840</wp:posOffset>
            </wp:positionH>
            <wp:positionV relativeFrom="paragraph">
              <wp:posOffset>181610</wp:posOffset>
            </wp:positionV>
            <wp:extent cx="1661160" cy="844423"/>
            <wp:effectExtent l="0" t="0" r="0" b="0"/>
            <wp:wrapNone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844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0C1A">
        <w:rPr>
          <w:rFonts w:ascii="Arial" w:hAnsi="Arial" w:cs="Arial"/>
          <w:sz w:val="22"/>
          <w:szCs w:val="22"/>
          <w:lang w:val="fr-FR"/>
        </w:rPr>
        <w:t>Toute pièce justificative pourra être fournie sur demande.</w:t>
      </w:r>
      <w:r w:rsidRPr="00A20C1A">
        <w:rPr>
          <w:rFonts w:ascii="Arial" w:hAnsi="Arial" w:cs="Arial"/>
          <w:sz w:val="22"/>
          <w:szCs w:val="22"/>
        </w:rPr>
        <w:t> </w:t>
      </w:r>
    </w:p>
    <w:p w14:paraId="40C50C2C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</w:p>
    <w:p w14:paraId="6270C26F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AE00B5F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2020F655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  <w:lang w:val="fr-FR"/>
        </w:rPr>
      </w:pPr>
      <w:r w:rsidRPr="00A20C1A">
        <w:rPr>
          <w:rFonts w:ascii="Arial" w:hAnsi="Arial" w:cs="Arial"/>
          <w:sz w:val="22"/>
          <w:szCs w:val="22"/>
          <w:lang w:val="fr-FR"/>
        </w:rPr>
        <w:t>_____________________</w:t>
      </w:r>
    </w:p>
    <w:p w14:paraId="2B96E4E9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  <w:lang w:val="fr-FR"/>
        </w:rPr>
        <w:t>Megan Bédard</w:t>
      </w:r>
    </w:p>
    <w:p w14:paraId="56D883CD" w14:textId="77777777" w:rsidR="00E75F94" w:rsidRPr="00A20C1A" w:rsidRDefault="00E75F94" w:rsidP="00D5388A">
      <w:pPr>
        <w:jc w:val="both"/>
        <w:rPr>
          <w:rFonts w:ascii="Arial" w:hAnsi="Arial" w:cs="Arial"/>
          <w:sz w:val="22"/>
          <w:szCs w:val="22"/>
        </w:rPr>
      </w:pPr>
    </w:p>
    <w:p w14:paraId="55DC3542" w14:textId="5F8690C5" w:rsidR="00E07DD5" w:rsidRPr="00A20C1A" w:rsidRDefault="00E75F94" w:rsidP="00D5388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 </w:t>
      </w:r>
      <w:r w:rsidR="00E07DD5" w:rsidRPr="00A20C1A">
        <w:rPr>
          <w:rFonts w:ascii="Arial" w:eastAsia="Arial" w:hAnsi="Arial" w:cs="Arial"/>
          <w:color w:val="000000"/>
          <w:sz w:val="22"/>
          <w:szCs w:val="22"/>
        </w:rPr>
        <w:t>Que l’on dépose du bilan financier 2019-2020 et que l’on adopte le plan budgétaire 2020-2021 tels qu’amendés.</w:t>
      </w:r>
    </w:p>
    <w:p w14:paraId="7BF41092" w14:textId="77777777" w:rsidR="00E07DD5" w:rsidRPr="00A20C1A" w:rsidRDefault="00E07DD5" w:rsidP="00D5388A">
      <w:pPr>
        <w:widowControl w:val="0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Proposé par Lucile Crémier. </w:t>
      </w:r>
    </w:p>
    <w:p w14:paraId="5D2CAAF2" w14:textId="77777777" w:rsidR="00E07DD5" w:rsidRPr="00A20C1A" w:rsidRDefault="00E07DD5" w:rsidP="00D5388A">
      <w:pPr>
        <w:widowControl w:val="0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eastAsia="Arial" w:hAnsi="Arial" w:cs="Arial"/>
          <w:i/>
          <w:iCs/>
          <w:color w:val="000000"/>
          <w:sz w:val="22"/>
          <w:szCs w:val="22"/>
        </w:rPr>
        <w:t>Appuyé par Karim Chagnon.</w:t>
      </w:r>
      <w:r w:rsidRPr="00A20C1A">
        <w:rPr>
          <w:rFonts w:ascii="Arial" w:eastAsia="Times New Roman" w:hAnsi="Arial" w:cs="Arial"/>
          <w:i/>
          <w:iCs/>
          <w:color w:val="000000"/>
          <w:sz w:val="22"/>
          <w:szCs w:val="22"/>
        </w:rPr>
        <w:t> </w:t>
      </w:r>
    </w:p>
    <w:p w14:paraId="15A6F423" w14:textId="77777777" w:rsidR="00E07DD5" w:rsidRPr="00A20C1A" w:rsidRDefault="00E07DD5" w:rsidP="00D5388A">
      <w:pPr>
        <w:jc w:val="both"/>
        <w:rPr>
          <w:rFonts w:ascii="Arial" w:eastAsia="Times New Roman" w:hAnsi="Arial" w:cs="Arial"/>
          <w:i/>
          <w:iCs/>
          <w:sz w:val="22"/>
          <w:szCs w:val="22"/>
        </w:rPr>
      </w:pPr>
      <w:r w:rsidRPr="00A20C1A">
        <w:rPr>
          <w:rFonts w:ascii="Arial" w:eastAsia="Times New Roman" w:hAnsi="Arial" w:cs="Arial"/>
          <w:i/>
          <w:iCs/>
          <w:sz w:val="22"/>
          <w:szCs w:val="22"/>
        </w:rPr>
        <w:t xml:space="preserve">Adoptée à l’unanimité. </w:t>
      </w:r>
    </w:p>
    <w:p w14:paraId="40F09D9C" w14:textId="77777777" w:rsidR="00E07DD5" w:rsidRPr="00A20C1A" w:rsidRDefault="00E07DD5" w:rsidP="00D5388A">
      <w:pPr>
        <w:widowControl w:val="0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69DB3AAB" w14:textId="77777777" w:rsidR="00E07DD5" w:rsidRPr="00A20C1A" w:rsidRDefault="00E07DD5" w:rsidP="00D5388A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b/>
          <w:bCs/>
          <w:color w:val="000000"/>
          <w:lang w:val="fr-CA" w:eastAsia="fr-CA"/>
        </w:rPr>
        <w:t>Fond d’urgence ― Bourses d’aide financière</w:t>
      </w:r>
    </w:p>
    <w:p w14:paraId="429C0533" w14:textId="33009F02" w:rsidR="00E777C2" w:rsidRPr="00A20C1A" w:rsidRDefault="00E07DD5" w:rsidP="00D5388A">
      <w:pPr>
        <w:pStyle w:val="Paragraphedeliste"/>
        <w:spacing w:after="0" w:line="240" w:lineRule="auto"/>
        <w:ind w:firstLine="0"/>
        <w:rPr>
          <w:rFonts w:ascii="Arial" w:eastAsia="Times New Roman" w:hAnsi="Arial" w:cs="Arial"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color w:val="000000"/>
          <w:lang w:val="fr-CA" w:eastAsia="fr-CA"/>
        </w:rPr>
        <w:t xml:space="preserve">Que soit </w:t>
      </w:r>
      <w:r w:rsidR="00A05A5D" w:rsidRPr="00A20C1A">
        <w:rPr>
          <w:rFonts w:ascii="Arial" w:eastAsia="Times New Roman" w:hAnsi="Arial" w:cs="Arial"/>
          <w:color w:val="000000"/>
          <w:lang w:val="fr-CA" w:eastAsia="fr-CA"/>
        </w:rPr>
        <w:t xml:space="preserve">renouveler </w:t>
      </w:r>
      <w:r w:rsidRPr="00A20C1A">
        <w:rPr>
          <w:rFonts w:ascii="Arial" w:eastAsia="Times New Roman" w:hAnsi="Arial" w:cs="Arial"/>
          <w:color w:val="000000"/>
          <w:lang w:val="fr-CA" w:eastAsia="fr-CA"/>
        </w:rPr>
        <w:t xml:space="preserve">la Bourses d’aide financière </w:t>
      </w:r>
      <w:r w:rsidR="00A05A5D" w:rsidRPr="00A20C1A">
        <w:rPr>
          <w:rFonts w:ascii="Arial" w:eastAsia="Times New Roman" w:hAnsi="Arial" w:cs="Arial"/>
          <w:color w:val="000000"/>
          <w:lang w:val="fr-CA" w:eastAsia="fr-CA"/>
        </w:rPr>
        <w:t>en situation d’U</w:t>
      </w:r>
      <w:r w:rsidRPr="00A20C1A">
        <w:rPr>
          <w:rFonts w:ascii="Arial" w:eastAsia="Times New Roman" w:hAnsi="Arial" w:cs="Arial"/>
          <w:color w:val="000000"/>
          <w:lang w:val="fr-CA" w:eastAsia="fr-CA"/>
        </w:rPr>
        <w:t>rgence telle que pensée à l’hiver 2020.</w:t>
      </w:r>
    </w:p>
    <w:p w14:paraId="35B92091" w14:textId="77777777" w:rsidR="00E777C2" w:rsidRPr="00A20C1A" w:rsidRDefault="00E777C2" w:rsidP="00D5388A">
      <w:pPr>
        <w:pStyle w:val="Paragraphedeliste"/>
        <w:spacing w:after="0" w:line="240" w:lineRule="auto"/>
        <w:ind w:firstLine="0"/>
        <w:rPr>
          <w:rFonts w:ascii="Arial" w:eastAsia="Times New Roman" w:hAnsi="Arial" w:cs="Arial"/>
          <w:color w:val="000000"/>
          <w:lang w:val="fr-CA" w:eastAsia="fr-CA"/>
        </w:rPr>
      </w:pPr>
    </w:p>
    <w:p w14:paraId="1A233B90" w14:textId="2060866C" w:rsidR="00E777C2" w:rsidRPr="00A20C1A" w:rsidRDefault="00E777C2" w:rsidP="00D5388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20C1A">
        <w:rPr>
          <w:rFonts w:ascii="Arial" w:hAnsi="Arial" w:cs="Arial"/>
          <w:b/>
          <w:bCs/>
          <w:sz w:val="22"/>
          <w:szCs w:val="22"/>
          <w:u w:val="single"/>
        </w:rPr>
        <w:t xml:space="preserve">Avis de motion pour </w:t>
      </w:r>
      <w:r w:rsidR="00A05A5D" w:rsidRPr="00A20C1A">
        <w:rPr>
          <w:rFonts w:ascii="Arial" w:hAnsi="Arial" w:cs="Arial"/>
          <w:b/>
          <w:bCs/>
          <w:sz w:val="22"/>
          <w:szCs w:val="22"/>
          <w:u w:val="single"/>
        </w:rPr>
        <w:t>le nouvellement</w:t>
      </w:r>
      <w:r w:rsidRPr="00A20C1A">
        <w:rPr>
          <w:rFonts w:ascii="Arial" w:hAnsi="Arial" w:cs="Arial"/>
          <w:b/>
          <w:bCs/>
          <w:sz w:val="22"/>
          <w:szCs w:val="22"/>
          <w:u w:val="single"/>
        </w:rPr>
        <w:t xml:space="preserve"> de la bourse d’aide financière en situation d’Urgence</w:t>
      </w:r>
    </w:p>
    <w:p w14:paraId="54B0B178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CONSIDÉRANT que la crise pandémique actuelle provoque une situation financière précaire chez nombre de nos membres;</w:t>
      </w:r>
    </w:p>
    <w:p w14:paraId="19951E3D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</w:p>
    <w:p w14:paraId="08B5D53E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CONSIDÉRANT les objectifs auxquels s’engage l’Asso Sémio tels que stipulés au point 6 des statuts et règlements;</w:t>
      </w:r>
    </w:p>
    <w:p w14:paraId="42C25F26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</w:p>
    <w:p w14:paraId="35C9146A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lastRenderedPageBreak/>
        <w:t>CONSIDÉRANT que la crise pandémique provoque une annulation des activités de rayonnement et que, par conséquent, une grande part des fonds alloués aux bourses au rayonnement ne seront pas distribués;</w:t>
      </w:r>
    </w:p>
    <w:p w14:paraId="7E20F7A7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</w:p>
    <w:p w14:paraId="51C9B701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L’Asso Sémio propose de créer un fond d’urgence afin d’appuyer financièrement ses membres durant la crise pandémique de la COVID-19. Dix (10) bourses d’un montant de cent-cinquante (150) dollars seront offertes aux membres de l’Asso Sémio les plus à risque financièrement en fonction des critères suivants :</w:t>
      </w:r>
    </w:p>
    <w:p w14:paraId="427E8C96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Précarité des revenus et pertes d’emploi/de contrat dues à la pandémie</w:t>
      </w:r>
    </w:p>
    <w:p w14:paraId="0BE42D90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Personnes à charge</w:t>
      </w:r>
    </w:p>
    <w:p w14:paraId="4BB4A356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</w:p>
    <w:p w14:paraId="6BEAF2A8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>Toustes les membres de l’Asso Sémio ne recevant pas une des grandes bourses subventionnaires fédérales ou provinciales (FRQSC, CRSH, Joseph-Armand Bombardier, Vanier) au moment de faire la présente demande d’aide financière peuvent envoyer celle-ci par courriel à l’adresse assosemio.uqam@gmail.com. Le comité exécutif priorisera le dossier des membres les plus précaires financièrement.</w:t>
      </w:r>
    </w:p>
    <w:p w14:paraId="2F6BFDC2" w14:textId="77777777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</w:p>
    <w:p w14:paraId="5CF2D683" w14:textId="77777777" w:rsidR="00E777C2" w:rsidRPr="00A20C1A" w:rsidRDefault="00E777C2" w:rsidP="00D538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0C1A">
        <w:rPr>
          <w:rFonts w:ascii="Arial" w:hAnsi="Arial" w:cs="Arial"/>
          <w:b/>
          <w:bCs/>
          <w:sz w:val="22"/>
          <w:szCs w:val="22"/>
        </w:rPr>
        <w:t>Dossier :</w:t>
      </w:r>
    </w:p>
    <w:p w14:paraId="6B1C5407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Coordonnées complètes (nom, adresse postale)</w:t>
      </w:r>
    </w:p>
    <w:p w14:paraId="38D074B9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Une demande formelle exposant brièvement la situation qui justifierait l’aide financière demandée</w:t>
      </w:r>
    </w:p>
    <w:p w14:paraId="301AB181" w14:textId="77777777" w:rsidR="00E777C2" w:rsidRPr="00A20C1A" w:rsidRDefault="00E777C2" w:rsidP="00D5388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18629B" w14:textId="4216C13C" w:rsidR="00E777C2" w:rsidRPr="00A20C1A" w:rsidRDefault="00E777C2" w:rsidP="00D5388A">
      <w:pPr>
        <w:jc w:val="both"/>
        <w:rPr>
          <w:rFonts w:ascii="Arial" w:hAnsi="Arial" w:cs="Arial"/>
          <w:sz w:val="22"/>
          <w:szCs w:val="22"/>
        </w:rPr>
      </w:pPr>
      <w:r w:rsidRPr="00A20C1A">
        <w:rPr>
          <w:rFonts w:ascii="Arial" w:hAnsi="Arial" w:cs="Arial"/>
          <w:sz w:val="22"/>
          <w:szCs w:val="22"/>
        </w:rPr>
        <w:t xml:space="preserve">Le fond tel que stipulé est non-renouvelable. Un point de discussion sera ajouté à l’ordre du jour </w:t>
      </w:r>
      <w:r w:rsidR="00847CBA" w:rsidRPr="00A20C1A">
        <w:rPr>
          <w:rFonts w:ascii="Arial" w:hAnsi="Arial" w:cs="Arial"/>
          <w:sz w:val="22"/>
          <w:szCs w:val="22"/>
        </w:rPr>
        <w:t xml:space="preserve">lors de la prochaine AG organisée par l’Asso Sémio </w:t>
      </w:r>
      <w:r w:rsidRPr="00A20C1A">
        <w:rPr>
          <w:rFonts w:ascii="Arial" w:hAnsi="Arial" w:cs="Arial"/>
          <w:sz w:val="22"/>
          <w:szCs w:val="22"/>
        </w:rPr>
        <w:t>afin d’établir, si</w:t>
      </w:r>
      <w:r w:rsidR="00847CBA" w:rsidRPr="00A20C1A">
        <w:rPr>
          <w:rFonts w:ascii="Arial" w:hAnsi="Arial" w:cs="Arial"/>
          <w:sz w:val="22"/>
          <w:szCs w:val="22"/>
        </w:rPr>
        <w:t xml:space="preserve"> le</w:t>
      </w:r>
      <w:r w:rsidRPr="00A20C1A">
        <w:rPr>
          <w:rFonts w:ascii="Arial" w:hAnsi="Arial" w:cs="Arial"/>
          <w:sz w:val="22"/>
          <w:szCs w:val="22"/>
        </w:rPr>
        <w:t xml:space="preserve"> fond </w:t>
      </w:r>
      <w:r w:rsidR="00847CBA" w:rsidRPr="00A20C1A">
        <w:rPr>
          <w:rFonts w:ascii="Arial" w:hAnsi="Arial" w:cs="Arial"/>
          <w:sz w:val="22"/>
          <w:szCs w:val="22"/>
        </w:rPr>
        <w:t xml:space="preserve">d’urgence est renouvelé ou si une AG référendaire est convoquée pour l’ajouter de manière </w:t>
      </w:r>
      <w:r w:rsidRPr="00A20C1A">
        <w:rPr>
          <w:rFonts w:ascii="Arial" w:hAnsi="Arial" w:cs="Arial"/>
          <w:sz w:val="22"/>
          <w:szCs w:val="22"/>
        </w:rPr>
        <w:t>permanent</w:t>
      </w:r>
      <w:r w:rsidR="00847CBA" w:rsidRPr="00A20C1A">
        <w:rPr>
          <w:rFonts w:ascii="Arial" w:hAnsi="Arial" w:cs="Arial"/>
          <w:sz w:val="22"/>
          <w:szCs w:val="22"/>
        </w:rPr>
        <w:t>e aux statuts</w:t>
      </w:r>
      <w:r w:rsidR="005D6774" w:rsidRPr="00A20C1A">
        <w:rPr>
          <w:rFonts w:ascii="Arial" w:hAnsi="Arial" w:cs="Arial"/>
          <w:sz w:val="22"/>
          <w:szCs w:val="22"/>
        </w:rPr>
        <w:t xml:space="preserve"> et règlements</w:t>
      </w:r>
      <w:r w:rsidRPr="00A20C1A">
        <w:rPr>
          <w:rFonts w:ascii="Arial" w:hAnsi="Arial" w:cs="Arial"/>
          <w:sz w:val="22"/>
          <w:szCs w:val="22"/>
        </w:rPr>
        <w:t xml:space="preserve"> selon l’ensemble des critères suivants :</w:t>
      </w:r>
    </w:p>
    <w:p w14:paraId="418B8563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Une situation de crise majeure touche les membres de l’Asso Sémio et celle-ci provoque des pertes de revenus plaçant les membres dans une situation de précarité financière qui menace le bon déroulement du programme de doctorat;</w:t>
      </w:r>
    </w:p>
    <w:p w14:paraId="2088FFD5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La situation de crise affecte l’ensemble de la communauté universitaire uqamienne;</w:t>
      </w:r>
    </w:p>
    <w:p w14:paraId="42CB5230" w14:textId="77777777" w:rsidR="00E777C2" w:rsidRPr="00A20C1A" w:rsidRDefault="00E777C2" w:rsidP="00D5388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20C1A">
        <w:rPr>
          <w:rFonts w:ascii="Arial" w:hAnsi="Arial" w:cs="Arial"/>
        </w:rPr>
        <w:t>L’Asso Sémio est en mesure d’ajouter à son budget annuel une dépense de 1 500 $ tout en prévoyant, à la fin de l’année fiscale en cours, conserver un montant d’au minimum 2 000 $ dans son compte bancaire.</w:t>
      </w:r>
    </w:p>
    <w:p w14:paraId="1A669986" w14:textId="76805E93" w:rsidR="00E07DD5" w:rsidRPr="00A20C1A" w:rsidRDefault="00E07DD5" w:rsidP="00D5388A">
      <w:pPr>
        <w:pStyle w:val="Paragraphedeliste"/>
        <w:spacing w:after="0" w:line="240" w:lineRule="auto"/>
        <w:ind w:firstLine="0"/>
        <w:rPr>
          <w:rFonts w:ascii="Arial" w:eastAsia="Times New Roman" w:hAnsi="Arial" w:cs="Arial"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color w:val="000000"/>
          <w:lang w:val="fr-CA" w:eastAsia="fr-CA"/>
        </w:rPr>
        <w:br/>
        <w:t>Que les dates tombées soient : (15 décembre) (15 mars) (15 juillet).</w:t>
      </w:r>
    </w:p>
    <w:p w14:paraId="6D1C76A1" w14:textId="77777777" w:rsidR="00E07DD5" w:rsidRPr="00A20C1A" w:rsidRDefault="00E07DD5" w:rsidP="00D5388A">
      <w:pPr>
        <w:pStyle w:val="Paragraphedeliste"/>
        <w:spacing w:after="0" w:line="240" w:lineRule="auto"/>
        <w:ind w:firstLine="0"/>
        <w:rPr>
          <w:rFonts w:ascii="Arial" w:eastAsia="Times New Roman" w:hAnsi="Arial" w:cs="Arial"/>
          <w:i/>
          <w:i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color w:val="000000"/>
          <w:lang w:val="fr-CA" w:eastAsia="fr-CA"/>
        </w:rPr>
        <w:t>Proposé par Joséane Beaulieu-April.</w:t>
      </w:r>
      <w:r w:rsidRPr="00A20C1A">
        <w:rPr>
          <w:rFonts w:ascii="Arial" w:eastAsia="Times New Roman" w:hAnsi="Arial" w:cs="Arial"/>
          <w:i/>
          <w:iCs/>
          <w:color w:val="000000"/>
          <w:lang w:val="fr-CA" w:eastAsia="fr-CA"/>
        </w:rPr>
        <w:br/>
        <w:t xml:space="preserve">Appuyé par Bianca Laliberté </w:t>
      </w:r>
    </w:p>
    <w:p w14:paraId="77FFED3B" w14:textId="77777777" w:rsidR="00E07DD5" w:rsidRPr="00A20C1A" w:rsidRDefault="00E07DD5" w:rsidP="00D5388A">
      <w:pPr>
        <w:pStyle w:val="Paragraphedeliste"/>
        <w:spacing w:after="0" w:line="240" w:lineRule="auto"/>
        <w:ind w:firstLine="0"/>
        <w:rPr>
          <w:rFonts w:ascii="Arial" w:eastAsia="Times New Roman" w:hAnsi="Arial" w:cs="Arial"/>
          <w:i/>
          <w:iCs/>
          <w:color w:val="000000"/>
          <w:lang w:val="fr-CA" w:eastAsia="fr-CA"/>
        </w:rPr>
      </w:pPr>
      <w:r w:rsidRPr="00A20C1A">
        <w:rPr>
          <w:rFonts w:ascii="Arial" w:eastAsia="Times New Roman" w:hAnsi="Arial" w:cs="Arial"/>
          <w:i/>
          <w:iCs/>
          <w:color w:val="000000"/>
          <w:lang w:val="fr-CA" w:eastAsia="fr-CA"/>
        </w:rPr>
        <w:t xml:space="preserve">Adoptée à l’unanimité. </w:t>
      </w:r>
    </w:p>
    <w:p w14:paraId="303CDC42" w14:textId="77777777" w:rsidR="00E07DD5" w:rsidRPr="00A20C1A" w:rsidRDefault="00E07DD5" w:rsidP="00D5388A">
      <w:pPr>
        <w:pStyle w:val="Paragraphedeliste"/>
        <w:spacing w:after="0" w:line="240" w:lineRule="auto"/>
        <w:ind w:firstLine="0"/>
        <w:rPr>
          <w:rFonts w:ascii="Arial" w:eastAsia="Times New Roman" w:hAnsi="Arial" w:cs="Arial"/>
          <w:color w:val="000000"/>
          <w:lang w:val="fr-CA" w:eastAsia="fr-CA"/>
        </w:rPr>
      </w:pPr>
    </w:p>
    <w:p w14:paraId="29DA9224" w14:textId="77777777" w:rsidR="00E07DD5" w:rsidRPr="00A20C1A" w:rsidRDefault="00E07DD5" w:rsidP="00D5388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1253177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5. Plan 2020-2021</w:t>
      </w:r>
    </w:p>
    <w:p w14:paraId="4AE77986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5.1 Activité Associatives</w:t>
      </w:r>
    </w:p>
    <w:p w14:paraId="2D2DD49C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- Les activités sont suspendues pour la durée de la pandémie. </w:t>
      </w:r>
    </w:p>
    <w:p w14:paraId="524230B9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- Le comité est ouvert aux suggestions. </w:t>
      </w:r>
    </w:p>
    <w:p w14:paraId="5054110F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- Lucie propose des rencontres sur Zoom pour partager, prendre des nouvelles. </w:t>
      </w:r>
    </w:p>
    <w:p w14:paraId="441F3CD9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 xml:space="preserve">- Lucile propose de coordonner des réunions zooms pour travailler. </w:t>
      </w:r>
    </w:p>
    <w:p w14:paraId="7D6E26D9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>- Point info de Karim Chagnon au sujet de Thèsez-vous.</w:t>
      </w:r>
    </w:p>
    <w:p w14:paraId="05D540C1" w14:textId="77777777" w:rsidR="00E07DD5" w:rsidRPr="00A20C1A" w:rsidRDefault="00E07DD5" w:rsidP="00D5388A">
      <w:p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6121F192" w14:textId="77777777" w:rsidR="00E07DD5" w:rsidRPr="00A20C1A" w:rsidRDefault="00E07DD5" w:rsidP="00D5388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6E3D567D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6. Élections</w:t>
      </w:r>
    </w:p>
    <w:p w14:paraId="3E0BB1B5" w14:textId="77777777" w:rsidR="00D5388A" w:rsidRDefault="00E07DD5" w:rsidP="00D5388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6.1</w:t>
      </w:r>
      <w:r w:rsidRPr="00A20C1A">
        <w:rPr>
          <w:rFonts w:ascii="Arial" w:hAnsi="Arial" w:cs="Arial"/>
          <w:b/>
          <w:bCs/>
          <w:color w:val="000000"/>
          <w:sz w:val="22"/>
          <w:szCs w:val="22"/>
        </w:rPr>
        <w:t xml:space="preserve"> Comité exécutif </w:t>
      </w:r>
    </w:p>
    <w:p w14:paraId="422BDB31" w14:textId="61AD452B" w:rsidR="00E07DD5" w:rsidRPr="00A20C1A" w:rsidRDefault="00E07DD5" w:rsidP="00D5388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hAnsi="Arial" w:cs="Arial"/>
          <w:b/>
          <w:bCs/>
          <w:color w:val="000000"/>
          <w:sz w:val="22"/>
          <w:szCs w:val="22"/>
        </w:rPr>
        <w:t>6.1.1 Présentation des postes </w:t>
      </w:r>
    </w:p>
    <w:p w14:paraId="2784C24A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 xml:space="preserve">Les postes à combler (Coordination générale, secrétariat, trésorerie) sont présentés.  </w:t>
      </w:r>
    </w:p>
    <w:p w14:paraId="2B1E6268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lastRenderedPageBreak/>
        <w:br/>
      </w:r>
      <w:r w:rsidRPr="00A20C1A">
        <w:rPr>
          <w:rFonts w:ascii="Arial" w:hAnsi="Arial" w:cs="Arial"/>
          <w:b/>
          <w:bCs/>
          <w:color w:val="000000"/>
          <w:sz w:val="22"/>
          <w:szCs w:val="22"/>
        </w:rPr>
        <w:t>6.1.2 Élections </w:t>
      </w:r>
    </w:p>
    <w:p w14:paraId="47B1FB3C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>Trois candidatures sont reçues :</w:t>
      </w:r>
    </w:p>
    <w:p w14:paraId="12000344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>Bianca Laliberté à la coordination générale.</w:t>
      </w:r>
    </w:p>
    <w:p w14:paraId="258A12B5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>Lucie au secrétariat.</w:t>
      </w:r>
    </w:p>
    <w:p w14:paraId="3CFC7CC6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>Megan Bédard à la trésorerie.</w:t>
      </w:r>
    </w:p>
    <w:p w14:paraId="3D4B9BA9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9F732C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>Que l’on élise les trois candidatures en bloc.</w:t>
      </w:r>
    </w:p>
    <w:p w14:paraId="38120B1E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Proposée par Joséane Beaulieu-April. </w:t>
      </w:r>
    </w:p>
    <w:p w14:paraId="27415737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eastAsia="Arial" w:hAnsi="Arial" w:cs="Arial"/>
          <w:i/>
          <w:iCs/>
          <w:color w:val="000000"/>
          <w:sz w:val="22"/>
          <w:szCs w:val="22"/>
        </w:rPr>
        <w:t>Appuyée par Karim Chagnon.</w:t>
      </w:r>
    </w:p>
    <w:p w14:paraId="10BBA03E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Adoptéee à l’unanimité. </w:t>
      </w:r>
    </w:p>
    <w:p w14:paraId="682D564B" w14:textId="77777777" w:rsidR="00D5388A" w:rsidRDefault="00E07DD5" w:rsidP="00D5388A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hAnsi="Arial" w:cs="Arial"/>
          <w:b/>
          <w:bCs/>
          <w:color w:val="000000"/>
          <w:sz w:val="22"/>
          <w:szCs w:val="22"/>
        </w:rPr>
        <w:br/>
        <w:t>6.2 Comité paritaire </w:t>
      </w:r>
    </w:p>
    <w:p w14:paraId="3E56F880" w14:textId="77777777" w:rsidR="00D5388A" w:rsidRDefault="00E07DD5" w:rsidP="00D5388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hAnsi="Arial" w:cs="Arial"/>
          <w:b/>
          <w:bCs/>
          <w:color w:val="000000"/>
          <w:sz w:val="22"/>
          <w:szCs w:val="22"/>
        </w:rPr>
        <w:t>6.2.1 Présentation des postes </w:t>
      </w:r>
    </w:p>
    <w:p w14:paraId="08FF140A" w14:textId="29882A3B" w:rsidR="00E07DD5" w:rsidRPr="00A20C1A" w:rsidRDefault="00E07DD5" w:rsidP="00D5388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hAnsi="Arial" w:cs="Arial"/>
          <w:b/>
          <w:bCs/>
          <w:color w:val="000000"/>
          <w:sz w:val="22"/>
          <w:szCs w:val="22"/>
        </w:rPr>
        <w:t>6.2.2 Élections </w:t>
      </w:r>
    </w:p>
    <w:p w14:paraId="3CB068DF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t xml:space="preserve">Cinq candidatures sont reçues : </w:t>
      </w:r>
    </w:p>
    <w:p w14:paraId="56B4176A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t>Megan Bédard, délégation officielle</w:t>
      </w:r>
    </w:p>
    <w:p w14:paraId="55F326A2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t>Stéphanie Roussel, délégation officielle</w:t>
      </w:r>
    </w:p>
    <w:p w14:paraId="6C1DE89E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t>Bianca Laliberté, délégation officielle</w:t>
      </w:r>
    </w:p>
    <w:p w14:paraId="5271F872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t>Lucile Crémier, déléguée substitut</w:t>
      </w:r>
    </w:p>
    <w:p w14:paraId="795521C6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20C1A">
        <w:rPr>
          <w:rFonts w:ascii="Arial" w:hAnsi="Arial" w:cs="Arial"/>
          <w:color w:val="000000"/>
          <w:sz w:val="22"/>
          <w:szCs w:val="22"/>
        </w:rPr>
        <w:t>Karim Chagnon, déléguée substitut</w:t>
      </w:r>
    </w:p>
    <w:p w14:paraId="0BCFA935" w14:textId="77777777" w:rsidR="00E07DD5" w:rsidRPr="00A20C1A" w:rsidRDefault="00E07DD5" w:rsidP="00D5388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9B0FA6" w14:textId="77777777" w:rsidR="00E07DD5" w:rsidRPr="00A20C1A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20C1A">
        <w:rPr>
          <w:rFonts w:ascii="Arial" w:eastAsia="Arial" w:hAnsi="Arial" w:cs="Arial"/>
          <w:color w:val="000000"/>
          <w:sz w:val="22"/>
          <w:szCs w:val="22"/>
        </w:rPr>
        <w:t>Que l’on élise les cinq candidatures en bloc.</w:t>
      </w:r>
    </w:p>
    <w:p w14:paraId="2FB43264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hAnsi="Arial" w:cs="Arial"/>
          <w:i/>
          <w:iCs/>
          <w:color w:val="000000"/>
          <w:sz w:val="22"/>
          <w:szCs w:val="22"/>
        </w:rPr>
        <w:t>Proposée par Joséane Beaulieu-April</w:t>
      </w:r>
    </w:p>
    <w:p w14:paraId="2EFDED10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hAnsi="Arial" w:cs="Arial"/>
          <w:i/>
          <w:iCs/>
          <w:color w:val="000000"/>
          <w:sz w:val="22"/>
          <w:szCs w:val="22"/>
        </w:rPr>
        <w:t>Appuyée par Lucie Quevillon</w:t>
      </w:r>
    </w:p>
    <w:p w14:paraId="5E7C4445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hAnsi="Arial" w:cs="Arial"/>
          <w:i/>
          <w:iCs/>
          <w:color w:val="000000"/>
          <w:sz w:val="22"/>
          <w:szCs w:val="22"/>
        </w:rPr>
        <w:t xml:space="preserve">Adoptée à l’unanimité </w:t>
      </w:r>
    </w:p>
    <w:p w14:paraId="6053F384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B1F0BD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  </w:t>
      </w:r>
    </w:p>
    <w:p w14:paraId="386D37B6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7. Annonces </w:t>
      </w:r>
    </w:p>
    <w:p w14:paraId="50FF0BAC" w14:textId="77777777" w:rsidR="00E07DD5" w:rsidRPr="00A20C1A" w:rsidRDefault="00E07DD5" w:rsidP="00D5388A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color w:val="000000"/>
          <w:sz w:val="22"/>
          <w:szCs w:val="22"/>
        </w:rPr>
        <w:t>- Lucile demande au groupe de discuter du meilleur moment pour les rencontres en groupe sur zoom.</w:t>
      </w:r>
    </w:p>
    <w:p w14:paraId="636F950E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4AB6368B" w14:textId="77777777" w:rsidR="00E07DD5" w:rsidRPr="00A20C1A" w:rsidRDefault="00E07DD5" w:rsidP="00D5388A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A20C1A">
        <w:rPr>
          <w:rFonts w:ascii="Arial" w:eastAsia="Times New Roman" w:hAnsi="Arial" w:cs="Arial"/>
          <w:b/>
          <w:bCs/>
          <w:color w:val="000000"/>
          <w:sz w:val="22"/>
          <w:szCs w:val="22"/>
        </w:rPr>
        <w:t>8. Fermeture </w:t>
      </w:r>
    </w:p>
    <w:p w14:paraId="4B574105" w14:textId="77777777" w:rsidR="00E07DD5" w:rsidRPr="00A20C1A" w:rsidRDefault="00E07DD5" w:rsidP="00D5388A">
      <w:pPr>
        <w:jc w:val="both"/>
        <w:rPr>
          <w:rFonts w:ascii="Arial" w:eastAsia="Arial" w:hAnsi="Arial" w:cs="Arial"/>
          <w:sz w:val="22"/>
          <w:szCs w:val="22"/>
        </w:rPr>
      </w:pPr>
      <w:r w:rsidRPr="00A20C1A">
        <w:rPr>
          <w:rFonts w:ascii="Arial" w:eastAsia="Arial" w:hAnsi="Arial" w:cs="Arial"/>
          <w:sz w:val="22"/>
          <w:szCs w:val="22"/>
        </w:rPr>
        <w:t>Que l’assemblée soit fermée à 12h24</w:t>
      </w:r>
    </w:p>
    <w:p w14:paraId="6D664471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hAnsi="Arial" w:cs="Arial"/>
          <w:i/>
          <w:iCs/>
          <w:color w:val="000000"/>
          <w:sz w:val="22"/>
          <w:szCs w:val="22"/>
        </w:rPr>
        <w:t>Proposée par Lucile Crémier</w:t>
      </w:r>
    </w:p>
    <w:p w14:paraId="075C84E9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hAnsi="Arial" w:cs="Arial"/>
          <w:i/>
          <w:iCs/>
          <w:color w:val="000000"/>
          <w:sz w:val="22"/>
          <w:szCs w:val="22"/>
        </w:rPr>
        <w:t>Appuyée par Megan Bédard</w:t>
      </w:r>
    </w:p>
    <w:p w14:paraId="03639AD1" w14:textId="77777777" w:rsidR="00E07DD5" w:rsidRPr="00A20C1A" w:rsidRDefault="00E07DD5" w:rsidP="00D5388A">
      <w:pPr>
        <w:ind w:firstLine="70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20C1A">
        <w:rPr>
          <w:rFonts w:ascii="Arial" w:hAnsi="Arial" w:cs="Arial"/>
          <w:i/>
          <w:iCs/>
          <w:color w:val="000000"/>
          <w:sz w:val="22"/>
          <w:szCs w:val="22"/>
        </w:rPr>
        <w:t xml:space="preserve">Adoptée à l’unanimité </w:t>
      </w:r>
    </w:p>
    <w:p w14:paraId="1F36F1EF" w14:textId="77777777" w:rsidR="00E07DD5" w:rsidRPr="00A20C1A" w:rsidRDefault="00E07DD5" w:rsidP="00D5388A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2BA4A52" w14:textId="53EFEFCD" w:rsidR="00AF535C" w:rsidRDefault="00E07DD5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A20C1A">
        <w:rPr>
          <w:rFonts w:ascii="Arial" w:eastAsia="Arial" w:hAnsi="Arial" w:cs="Arial"/>
          <w:sz w:val="22"/>
          <w:szCs w:val="22"/>
        </w:rPr>
        <w:t>Ce procès-verbal a été rédigé par Joséane Beaulieu-April le 1</w:t>
      </w:r>
      <w:r w:rsidRPr="00A20C1A">
        <w:rPr>
          <w:rFonts w:ascii="Arial" w:eastAsia="Arial" w:hAnsi="Arial" w:cs="Arial"/>
          <w:sz w:val="22"/>
          <w:szCs w:val="22"/>
          <w:vertAlign w:val="superscript"/>
        </w:rPr>
        <w:t>er</w:t>
      </w:r>
      <w:r w:rsidRPr="00A20C1A">
        <w:rPr>
          <w:rFonts w:ascii="Arial" w:eastAsia="Arial" w:hAnsi="Arial" w:cs="Arial"/>
          <w:sz w:val="22"/>
          <w:szCs w:val="22"/>
        </w:rPr>
        <w:t xml:space="preserve"> octobre 2020</w:t>
      </w:r>
    </w:p>
    <w:p w14:paraId="36CF7533" w14:textId="4FCFE451" w:rsidR="001A721D" w:rsidRDefault="001A721D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46BF16D" w14:textId="77777777" w:rsidR="001A721D" w:rsidRDefault="001A721D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BADB370" w14:textId="77777777" w:rsidR="001A721D" w:rsidRDefault="001A721D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7576D981" w14:textId="5E333ED3" w:rsidR="001A721D" w:rsidRPr="00A20C1A" w:rsidRDefault="001A721D" w:rsidP="00D53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</w:t>
      </w:r>
    </w:p>
    <w:sectPr w:rsidR="001A721D" w:rsidRPr="00A20C1A">
      <w:headerReference w:type="default" r:id="rId13"/>
      <w:pgSz w:w="12240" w:h="15840"/>
      <w:pgMar w:top="1077" w:right="1134" w:bottom="107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7454F" w14:textId="77777777" w:rsidR="00E45059" w:rsidRDefault="00E45059">
      <w:r>
        <w:separator/>
      </w:r>
    </w:p>
  </w:endnote>
  <w:endnote w:type="continuationSeparator" w:id="0">
    <w:p w14:paraId="208246C4" w14:textId="77777777" w:rsidR="00E45059" w:rsidRDefault="00E4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342FC" w14:textId="77777777" w:rsidR="00E45059" w:rsidRDefault="00E45059">
      <w:r>
        <w:separator/>
      </w:r>
    </w:p>
  </w:footnote>
  <w:footnote w:type="continuationSeparator" w:id="0">
    <w:p w14:paraId="541A9A7D" w14:textId="77777777" w:rsidR="00E45059" w:rsidRDefault="00E4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4A55" w14:textId="77777777" w:rsidR="00AF535C" w:rsidRDefault="00E450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rFonts w:ascii="Arial" w:eastAsia="Arial" w:hAnsi="Arial" w:cs="Arial"/>
        <w:color w:val="666666"/>
        <w:sz w:val="22"/>
        <w:szCs w:val="22"/>
      </w:rPr>
      <w:t>Association des étudiantes et étudiants en sémiologie de l’UQAM</w:t>
    </w:r>
    <w:r>
      <w:rPr>
        <w:rFonts w:ascii="Arial" w:eastAsia="Arial" w:hAnsi="Arial" w:cs="Arial"/>
        <w:color w:val="000000"/>
        <w:sz w:val="22"/>
        <w:szCs w:val="2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0618"/>
    <w:multiLevelType w:val="hybridMultilevel"/>
    <w:tmpl w:val="51B27EFE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24CD"/>
    <w:multiLevelType w:val="multilevel"/>
    <w:tmpl w:val="8E0CC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6697024"/>
    <w:multiLevelType w:val="hybridMultilevel"/>
    <w:tmpl w:val="317CDE04"/>
    <w:lvl w:ilvl="0" w:tplc="5E36D918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5C"/>
    <w:rsid w:val="001A721D"/>
    <w:rsid w:val="003165AA"/>
    <w:rsid w:val="003D54AD"/>
    <w:rsid w:val="00513850"/>
    <w:rsid w:val="005D6774"/>
    <w:rsid w:val="00833F04"/>
    <w:rsid w:val="00847CBA"/>
    <w:rsid w:val="008F4EF6"/>
    <w:rsid w:val="009B13BC"/>
    <w:rsid w:val="00A05A5D"/>
    <w:rsid w:val="00A20C1A"/>
    <w:rsid w:val="00A57F89"/>
    <w:rsid w:val="00AF535C"/>
    <w:rsid w:val="00CC31DD"/>
    <w:rsid w:val="00D5388A"/>
    <w:rsid w:val="00E05F1E"/>
    <w:rsid w:val="00E07DD5"/>
    <w:rsid w:val="00E45059"/>
    <w:rsid w:val="00E67192"/>
    <w:rsid w:val="00E75F94"/>
    <w:rsid w:val="00E777C2"/>
    <w:rsid w:val="00EC30E4"/>
    <w:rsid w:val="00F2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49DA"/>
  <w15:docId w15:val="{2B13D74A-0610-45C4-A066-CA384195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46"/>
    <w:rPr>
      <w:lang w:val="fr-C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-tteCar">
    <w:name w:val="En-tête Car"/>
    <w:basedOn w:val="Policepardfaut"/>
    <w:link w:val="En-tte"/>
    <w:uiPriority w:val="99"/>
    <w:rsid w:val="00091A46"/>
    <w:rPr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091A46"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091A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091A46"/>
  </w:style>
  <w:style w:type="character" w:customStyle="1" w:styleId="eop">
    <w:name w:val="eop"/>
    <w:basedOn w:val="Policepardfaut"/>
    <w:rsid w:val="00091A46"/>
  </w:style>
  <w:style w:type="character" w:customStyle="1" w:styleId="spellingerror">
    <w:name w:val="spellingerror"/>
    <w:basedOn w:val="Policepardfaut"/>
    <w:rsid w:val="00091A46"/>
  </w:style>
  <w:style w:type="character" w:customStyle="1" w:styleId="scxw3304606">
    <w:name w:val="scxw3304606"/>
    <w:basedOn w:val="Policepardfaut"/>
    <w:rsid w:val="00091A46"/>
  </w:style>
  <w:style w:type="paragraph" w:styleId="NormalWeb">
    <w:name w:val="Normal (Web)"/>
    <w:basedOn w:val="Normal"/>
    <w:uiPriority w:val="99"/>
    <w:rsid w:val="00091A46"/>
    <w:pPr>
      <w:spacing w:beforeLines="1" w:afterLines="1"/>
    </w:pPr>
    <w:rPr>
      <w:rFonts w:ascii="Times" w:hAnsi="Times" w:cs="Times New Roman"/>
      <w:sz w:val="20"/>
      <w:szCs w:val="20"/>
      <w:lang w:val="en-US" w:eastAsia="fr-FR"/>
    </w:rPr>
  </w:style>
  <w:style w:type="character" w:styleId="Lienhypertexte">
    <w:name w:val="Hyperlink"/>
    <w:basedOn w:val="Policepardfaut"/>
    <w:uiPriority w:val="99"/>
    <w:semiHidden/>
    <w:unhideWhenUsed/>
    <w:rsid w:val="006E190B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E07DD5"/>
    <w:pPr>
      <w:spacing w:after="240" w:line="360" w:lineRule="auto"/>
      <w:ind w:left="720" w:firstLine="567"/>
      <w:contextualSpacing/>
      <w:jc w:val="both"/>
    </w:pPr>
    <w:rPr>
      <w:rFonts w:ascii="Times New Roman" w:eastAsiaTheme="minorHAnsi" w:hAnsi="Times New Roman" w:cs="Times New Roman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sosemio-uqam.c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ssosemio-uqam.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osemio.uqam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oCpQ3PbN9iPb7y7OeGP098MZg==">AMUW2mWwQ0pLnrwHXV4fxgy+HTSpuXcGu5q+StODlV1cC6YQKkG+rl71pOraAp+f7fP/BFEAEjLHNMLhTZpne7aryQ+d4FhFnw1d+DDFk7GhNruSMFZJ4Bk=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1312</Words>
  <Characters>7222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C</dc:creator>
  <cp:lastModifiedBy>Megan Bedard</cp:lastModifiedBy>
  <cp:revision>22</cp:revision>
  <dcterms:created xsi:type="dcterms:W3CDTF">2020-10-01T17:24:00Z</dcterms:created>
  <dcterms:modified xsi:type="dcterms:W3CDTF">2020-10-05T18:19:00Z</dcterms:modified>
</cp:coreProperties>
</file>